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0"/>
        <w:gridCol w:w="6542"/>
      </w:tblGrid>
      <w:tr w:rsidR="00945F01" w:rsidTr="00AE7607">
        <w:tc>
          <w:tcPr>
            <w:tcW w:w="8617" w:type="dxa"/>
          </w:tcPr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628" w:type="dxa"/>
          </w:tcPr>
          <w:p w:rsidR="00945F01" w:rsidRDefault="00945F01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2A5306" w:rsidRDefault="00945F01" w:rsidP="002A5306">
            <w:pPr>
              <w:spacing w:line="240" w:lineRule="exact"/>
              <w:ind w:firstLine="0"/>
              <w:jc w:val="center"/>
            </w:pPr>
            <w:r w:rsidRPr="00AA4152">
              <w:t>к муниципальной программе</w:t>
            </w:r>
            <w:r>
              <w:t xml:space="preserve"> </w:t>
            </w:r>
          </w:p>
          <w:p w:rsidR="00945F01" w:rsidRPr="00AA4152" w:rsidRDefault="00945F01" w:rsidP="002A5306">
            <w:pPr>
              <w:spacing w:line="240" w:lineRule="exact"/>
              <w:ind w:firstLine="0"/>
              <w:jc w:val="center"/>
            </w:pPr>
            <w:r>
              <w:rPr>
                <w:szCs w:val="28"/>
              </w:rPr>
              <w:t xml:space="preserve">Шпаковского </w:t>
            </w:r>
            <w:r w:rsidRPr="00006F55">
              <w:rPr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Ставропольского края</w:t>
            </w:r>
          </w:p>
          <w:p w:rsidR="00945F01" w:rsidRDefault="00945F01" w:rsidP="002A5306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945F01" w:rsidRPr="00437E61" w:rsidRDefault="00945F01" w:rsidP="002A5306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E34B9D">
              <w:rPr>
                <w:szCs w:val="28"/>
              </w:rPr>
              <w:t>обеспечение безопасности</w:t>
            </w:r>
            <w:r>
              <w:rPr>
                <w:szCs w:val="28"/>
              </w:rPr>
              <w:t xml:space="preserve"> </w:t>
            </w:r>
            <w:r w:rsidRPr="00E34B9D">
              <w:rPr>
                <w:szCs w:val="28"/>
              </w:rPr>
              <w:t>дорожного движения</w:t>
            </w:r>
            <w:r w:rsidRPr="00DD37ED">
              <w:rPr>
                <w:szCs w:val="28"/>
              </w:rPr>
              <w:t>»</w:t>
            </w: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945F01" w:rsidRDefault="00D06709" w:rsidP="00945F01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8C3C41">
        <w:t xml:space="preserve">основных мероприятий </w:t>
      </w:r>
      <w:r w:rsidR="00945F01">
        <w:rPr>
          <w:szCs w:val="28"/>
        </w:rPr>
        <w:t>муниципальной программы Шпаковского муниципального округа Ставропольского края</w:t>
      </w:r>
      <w:r w:rsidR="009A4A36">
        <w:t xml:space="preserve"> </w:t>
      </w:r>
      <w:r w:rsidR="00945F01"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D1E01" w:rsidRPr="008C3C41" w:rsidRDefault="00AD1E01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156"/>
        <w:gridCol w:w="1754"/>
        <w:gridCol w:w="2126"/>
        <w:gridCol w:w="1276"/>
        <w:gridCol w:w="1418"/>
        <w:gridCol w:w="1984"/>
        <w:gridCol w:w="4031"/>
      </w:tblGrid>
      <w:tr w:rsidR="009A4A36" w:rsidRPr="000D67D3" w:rsidTr="007040E2">
        <w:trPr>
          <w:trHeight w:val="672"/>
        </w:trPr>
        <w:tc>
          <w:tcPr>
            <w:tcW w:w="485" w:type="dxa"/>
            <w:vMerge w:val="restart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№</w:t>
            </w:r>
          </w:p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0D67D3">
              <w:rPr>
                <w:sz w:val="24"/>
                <w:szCs w:val="24"/>
              </w:rPr>
              <w:t>п</w:t>
            </w:r>
            <w:proofErr w:type="gramEnd"/>
            <w:r w:rsidRPr="000D67D3">
              <w:rPr>
                <w:sz w:val="24"/>
                <w:szCs w:val="24"/>
              </w:rPr>
              <w:t>/п</w:t>
            </w:r>
          </w:p>
        </w:tc>
        <w:tc>
          <w:tcPr>
            <w:tcW w:w="2156" w:type="dxa"/>
            <w:vMerge w:val="restart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754" w:type="dxa"/>
            <w:vMerge w:val="restart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0D67D3">
                <w:rPr>
                  <w:sz w:val="24"/>
                  <w:szCs w:val="24"/>
                </w:rPr>
                <w:t>&lt;1</w:t>
              </w:r>
              <w:r w:rsidRPr="000D67D3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</w:tcPr>
          <w:p w:rsidR="009A4A36" w:rsidRPr="000D67D3" w:rsidRDefault="009A4A36" w:rsidP="002A5306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0D67D3" w:rsidRDefault="009A4A36" w:rsidP="002A5306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0D67D3" w:rsidRDefault="009A4A36" w:rsidP="002A5306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0D67D3" w:rsidRDefault="009A4A36" w:rsidP="002A5306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694" w:type="dxa"/>
            <w:gridSpan w:val="2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984" w:type="dxa"/>
            <w:vMerge w:val="restart"/>
          </w:tcPr>
          <w:p w:rsidR="009A4A36" w:rsidRPr="000D67D3" w:rsidRDefault="009A4A36" w:rsidP="002A5306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Ожидаемый    непосредственный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 xml:space="preserve">результат </w:t>
            </w:r>
            <w:r w:rsidRPr="000D67D3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4031" w:type="dxa"/>
            <w:vMerge w:val="restart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0D67D3" w:rsidTr="007040E2">
        <w:trPr>
          <w:trHeight w:val="373"/>
        </w:trPr>
        <w:tc>
          <w:tcPr>
            <w:tcW w:w="485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9A4A36" w:rsidRPr="000D67D3" w:rsidRDefault="009A4A36" w:rsidP="000D67D3">
            <w:pPr>
              <w:spacing w:line="240" w:lineRule="auto"/>
              <w:ind w:right="363"/>
              <w:jc w:val="center"/>
              <w:rPr>
                <w:sz w:val="24"/>
                <w:szCs w:val="24"/>
              </w:rPr>
            </w:pPr>
          </w:p>
        </w:tc>
      </w:tr>
    </w:tbl>
    <w:p w:rsidR="002A5306" w:rsidRDefault="002A5306" w:rsidP="002A5306">
      <w:pPr>
        <w:spacing w:line="20" w:lineRule="exact"/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156"/>
        <w:gridCol w:w="53"/>
        <w:gridCol w:w="1657"/>
        <w:gridCol w:w="44"/>
        <w:gridCol w:w="2126"/>
        <w:gridCol w:w="1276"/>
        <w:gridCol w:w="1418"/>
        <w:gridCol w:w="1984"/>
        <w:gridCol w:w="4031"/>
      </w:tblGrid>
      <w:tr w:rsidR="009A4A36" w:rsidRPr="000D67D3" w:rsidTr="002A5306">
        <w:trPr>
          <w:tblHeader/>
        </w:trPr>
        <w:tc>
          <w:tcPr>
            <w:tcW w:w="485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</w:p>
        </w:tc>
        <w:tc>
          <w:tcPr>
            <w:tcW w:w="2156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</w:t>
            </w:r>
          </w:p>
        </w:tc>
        <w:tc>
          <w:tcPr>
            <w:tcW w:w="1754" w:type="dxa"/>
            <w:gridSpan w:val="3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9A4A36" w:rsidRPr="000D67D3" w:rsidRDefault="009A4A36" w:rsidP="002A530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8</w:t>
            </w:r>
          </w:p>
        </w:tc>
      </w:tr>
      <w:tr w:rsidR="009A4A36" w:rsidRPr="000D67D3" w:rsidTr="007040E2">
        <w:trPr>
          <w:trHeight w:val="453"/>
        </w:trPr>
        <w:tc>
          <w:tcPr>
            <w:tcW w:w="485" w:type="dxa"/>
            <w:vMerge w:val="restart"/>
          </w:tcPr>
          <w:p w:rsidR="009A4A36" w:rsidRPr="000D67D3" w:rsidRDefault="001541A5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  <w:r w:rsidR="009A4A36" w:rsidRPr="000D67D3">
              <w:rPr>
                <w:sz w:val="24"/>
                <w:szCs w:val="24"/>
              </w:rPr>
              <w:t>.</w:t>
            </w:r>
          </w:p>
        </w:tc>
        <w:tc>
          <w:tcPr>
            <w:tcW w:w="14745" w:type="dxa"/>
            <w:gridSpan w:val="9"/>
          </w:tcPr>
          <w:p w:rsidR="001541A5" w:rsidRPr="000D67D3" w:rsidRDefault="000F3550" w:rsidP="002A5306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Цель П</w:t>
            </w:r>
            <w:r w:rsidR="009A4A36" w:rsidRPr="000D67D3">
              <w:rPr>
                <w:sz w:val="24"/>
                <w:szCs w:val="24"/>
              </w:rPr>
              <w:t>рограммы:</w:t>
            </w:r>
            <w:r w:rsidR="00821EFD" w:rsidRPr="000D67D3">
              <w:rPr>
                <w:sz w:val="24"/>
                <w:szCs w:val="24"/>
              </w:rPr>
              <w:t xml:space="preserve"> развитие </w:t>
            </w:r>
            <w:r w:rsidR="00945F01" w:rsidRPr="000D67D3">
              <w:rPr>
                <w:sz w:val="24"/>
                <w:szCs w:val="24"/>
              </w:rPr>
              <w:t>дорожного хозяйства</w:t>
            </w:r>
            <w:r w:rsidR="00821EFD" w:rsidRPr="000D67D3">
              <w:rPr>
                <w:sz w:val="24"/>
                <w:szCs w:val="24"/>
              </w:rPr>
              <w:t xml:space="preserve"> и обеспечение безопасности дорожного движения Шпаковского муниципального округа</w:t>
            </w:r>
          </w:p>
        </w:tc>
      </w:tr>
      <w:tr w:rsidR="001541A5" w:rsidRPr="000D67D3" w:rsidTr="007040E2">
        <w:trPr>
          <w:trHeight w:val="431"/>
        </w:trPr>
        <w:tc>
          <w:tcPr>
            <w:tcW w:w="485" w:type="dxa"/>
            <w:vMerge/>
          </w:tcPr>
          <w:p w:rsidR="001541A5" w:rsidRPr="000D67D3" w:rsidRDefault="001541A5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2A5306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D3">
              <w:rPr>
                <w:rFonts w:ascii="Times New Roman" w:hAnsi="Times New Roman" w:cs="Times New Roman"/>
                <w:sz w:val="24"/>
                <w:szCs w:val="24"/>
              </w:rPr>
              <w:t>Задача 1: поддержание автомобильных дорог общего пользования местного значения на уровне, соответствующем категории дороги, путём содержания и ремонта дорог</w:t>
            </w:r>
          </w:p>
        </w:tc>
      </w:tr>
      <w:tr w:rsidR="00C33B05" w:rsidRPr="000D67D3" w:rsidTr="007040E2">
        <w:trPr>
          <w:trHeight w:val="278"/>
        </w:trPr>
        <w:tc>
          <w:tcPr>
            <w:tcW w:w="485" w:type="dxa"/>
          </w:tcPr>
          <w:p w:rsidR="007050F8" w:rsidRPr="000D67D3" w:rsidRDefault="00CC292B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1.1</w:t>
            </w:r>
            <w:r w:rsidR="007050F8"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7050F8" w:rsidRPr="000D67D3" w:rsidRDefault="007050F8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</w:tc>
        <w:tc>
          <w:tcPr>
            <w:tcW w:w="1701" w:type="dxa"/>
            <w:gridSpan w:val="2"/>
          </w:tcPr>
          <w:p w:rsidR="007050F8" w:rsidRPr="000D67D3" w:rsidRDefault="007050F8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7050F8" w:rsidRPr="000D67D3" w:rsidRDefault="007050F8" w:rsidP="002A5306">
            <w:pPr>
              <w:widowControl w:val="0"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комитет по муниципальному хозяйству и охране окружающей среды администрации Шпаковского муниципального </w:t>
            </w:r>
            <w:r w:rsidRPr="000D67D3">
              <w:rPr>
                <w:sz w:val="24"/>
                <w:szCs w:val="24"/>
              </w:rPr>
              <w:lastRenderedPageBreak/>
              <w:t>округа Ставропольского края (дале</w:t>
            </w:r>
            <w:proofErr w:type="gramStart"/>
            <w:r w:rsidRPr="000D67D3">
              <w:rPr>
                <w:sz w:val="24"/>
                <w:szCs w:val="24"/>
              </w:rPr>
              <w:t>е-</w:t>
            </w:r>
            <w:proofErr w:type="gramEnd"/>
            <w:r w:rsidRPr="000D67D3">
              <w:rPr>
                <w:sz w:val="24"/>
                <w:szCs w:val="24"/>
              </w:rPr>
              <w:t xml:space="preserve"> Комитет)</w:t>
            </w:r>
          </w:p>
        </w:tc>
        <w:tc>
          <w:tcPr>
            <w:tcW w:w="1276" w:type="dxa"/>
          </w:tcPr>
          <w:p w:rsidR="007050F8" w:rsidRPr="000D67D3" w:rsidRDefault="007050F8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8" w:type="dxa"/>
          </w:tcPr>
          <w:p w:rsidR="007050F8" w:rsidRPr="000D67D3" w:rsidRDefault="007050F8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7050F8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муниципальных дорог и искусственных </w:t>
            </w:r>
            <w:r w:rsidRPr="003D29BF">
              <w:rPr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4031" w:type="dxa"/>
          </w:tcPr>
          <w:p w:rsidR="003D29BF" w:rsidRPr="00967B6F" w:rsidRDefault="003D29B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3D29BF" w:rsidRPr="00967B6F" w:rsidRDefault="003D29B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3D29BF" w:rsidRPr="00967B6F" w:rsidRDefault="003D29BF" w:rsidP="002A5306">
            <w:pPr>
              <w:pStyle w:val="ConsPlusCel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7050F8" w:rsidRPr="007040E2" w:rsidRDefault="003D29B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2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2A5306">
            <w:pPr>
              <w:spacing w:line="240" w:lineRule="exact"/>
              <w:ind w:left="80"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3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 xml:space="preserve">Проведение </w:t>
            </w:r>
            <w:r w:rsidRPr="000D67D3">
              <w:rPr>
                <w:color w:val="000000"/>
                <w:sz w:val="24"/>
                <w:szCs w:val="24"/>
              </w:rPr>
              <w:lastRenderedPageBreak/>
              <w:t>инструментальной диагностики автомобильных дорог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</w:t>
            </w:r>
            <w:r w:rsidRPr="000D67D3">
              <w:rPr>
                <w:sz w:val="24"/>
                <w:szCs w:val="24"/>
              </w:rPr>
              <w:lastRenderedPageBreak/>
              <w:t>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</w:t>
            </w:r>
            <w:r w:rsidRPr="003D29BF">
              <w:rPr>
                <w:sz w:val="24"/>
                <w:szCs w:val="24"/>
              </w:rPr>
              <w:lastRenderedPageBreak/>
              <w:t>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2A5306">
            <w:pPr>
              <w:spacing w:line="240" w:lineRule="exact"/>
              <w:ind w:left="80"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увеличение количества участий в </w:t>
            </w:r>
            <w:r w:rsidRPr="00967B6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4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A5306">
            <w:pPr>
              <w:pStyle w:val="ConsPlusNormal"/>
              <w:tabs>
                <w:tab w:val="left" w:pos="435"/>
              </w:tabs>
              <w:spacing w:line="240" w:lineRule="exac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Строительный контроль при выполнении работ по капитальному ремонту и ремонту автомобильных дорог общего пользования местного значения Шпаковского муниципального округа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2A5306">
            <w:pPr>
              <w:spacing w:line="240" w:lineRule="exact"/>
              <w:ind w:left="80"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5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A5306">
            <w:pPr>
              <w:pStyle w:val="ConsPlusNormal"/>
              <w:tabs>
                <w:tab w:val="left" w:pos="653"/>
              </w:tabs>
              <w:spacing w:line="240" w:lineRule="exac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 xml:space="preserve">Капитальной ремонт и ремонт автомобильных </w:t>
            </w:r>
            <w:r w:rsidRPr="000D67D3">
              <w:rPr>
                <w:color w:val="000000"/>
                <w:sz w:val="24"/>
                <w:szCs w:val="24"/>
              </w:rPr>
              <w:lastRenderedPageBreak/>
              <w:t xml:space="preserve">дорог общего пользования местного </w:t>
            </w:r>
            <w:proofErr w:type="gramStart"/>
            <w:r w:rsidRPr="000D67D3">
              <w:rPr>
                <w:color w:val="000000"/>
                <w:sz w:val="24"/>
                <w:szCs w:val="24"/>
              </w:rPr>
              <w:t>значения</w:t>
            </w:r>
            <w:proofErr w:type="gramEnd"/>
            <w:r w:rsidR="00B759FB">
              <w:rPr>
                <w:color w:val="000000"/>
                <w:sz w:val="24"/>
                <w:szCs w:val="24"/>
              </w:rPr>
              <w:t xml:space="preserve"> в том числе в рамках </w:t>
            </w:r>
            <w:r w:rsidR="00B759FB">
              <w:t>реализации краевой инициативы «Дорога в школу»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0D67D3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</w:t>
            </w:r>
            <w:r w:rsidRPr="003D29BF">
              <w:rPr>
                <w:sz w:val="24"/>
                <w:szCs w:val="24"/>
              </w:rPr>
              <w:lastRenderedPageBreak/>
              <w:t>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6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  <w:r w:rsidRPr="000D67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7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Выполнение работ по ямочному ремонту автомобильных дорог, отсыпке инертными материалами и профилировке проезжей части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7040E2">
        <w:trPr>
          <w:trHeight w:val="278"/>
        </w:trPr>
        <w:tc>
          <w:tcPr>
            <w:tcW w:w="485" w:type="dxa"/>
          </w:tcPr>
          <w:p w:rsidR="00187B14" w:rsidRPr="000D67D3" w:rsidRDefault="00187B14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2209" w:type="dxa"/>
            <w:gridSpan w:val="2"/>
          </w:tcPr>
          <w:p w:rsidR="00187B14" w:rsidRPr="00584C2A" w:rsidRDefault="00187B14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84C2A">
              <w:rPr>
                <w:color w:val="000000"/>
                <w:sz w:val="24"/>
                <w:szCs w:val="24"/>
              </w:rPr>
              <w:t xml:space="preserve">Разработка и внесение изменений в Технические паспорта на автомобильные </w:t>
            </w:r>
            <w:r w:rsidRPr="00584C2A">
              <w:rPr>
                <w:color w:val="000000"/>
                <w:sz w:val="24"/>
                <w:szCs w:val="24"/>
              </w:rPr>
              <w:lastRenderedPageBreak/>
              <w:t>дороги и мостовые сооружения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87B14" w:rsidRPr="000D67D3" w:rsidRDefault="00187B14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7B14" w:rsidRPr="003D29BF" w:rsidRDefault="00187B14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муниципальных дорог и </w:t>
            </w:r>
            <w:r w:rsidRPr="003D29BF">
              <w:rPr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2A5306">
            <w:pPr>
              <w:pStyle w:val="ConsPlusCel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7040E2">
        <w:trPr>
          <w:trHeight w:val="278"/>
        </w:trPr>
        <w:tc>
          <w:tcPr>
            <w:tcW w:w="485" w:type="dxa"/>
          </w:tcPr>
          <w:p w:rsidR="00187B14" w:rsidRPr="000D67D3" w:rsidRDefault="00187B14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1.9.</w:t>
            </w:r>
          </w:p>
        </w:tc>
        <w:tc>
          <w:tcPr>
            <w:tcW w:w="2209" w:type="dxa"/>
            <w:gridSpan w:val="2"/>
          </w:tcPr>
          <w:p w:rsidR="00187B14" w:rsidRPr="00E355CB" w:rsidRDefault="00187B14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8E6FDE">
              <w:rPr>
                <w:color w:val="000000"/>
                <w:sz w:val="24"/>
                <w:szCs w:val="24"/>
              </w:rPr>
              <w:t>Разработка и внесение изменений в проекты организации дорожного движения на автомобильные дороги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87B14" w:rsidRPr="000D67D3" w:rsidRDefault="00187B14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7B14" w:rsidRPr="003D29BF" w:rsidRDefault="00187B14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2A5306">
            <w:pPr>
              <w:pStyle w:val="ConsPlusCel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541A5" w:rsidRPr="000D67D3" w:rsidTr="007040E2">
        <w:trPr>
          <w:trHeight w:val="278"/>
        </w:trPr>
        <w:tc>
          <w:tcPr>
            <w:tcW w:w="485" w:type="dxa"/>
          </w:tcPr>
          <w:p w:rsidR="001541A5" w:rsidRPr="000D67D3" w:rsidRDefault="001541A5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2A5306">
            <w:pPr>
              <w:pStyle w:val="ConsPlusNormal"/>
              <w:spacing w:line="240" w:lineRule="exact"/>
              <w:ind w:left="80"/>
              <w:jc w:val="both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Задача 2: </w:t>
            </w:r>
            <w:r w:rsidRPr="000D67D3">
              <w:rPr>
                <w:bCs/>
                <w:sz w:val="24"/>
                <w:szCs w:val="24"/>
              </w:rPr>
              <w:t>снижение аварийности на автомобильных дорогах находящихся в собственности Шпаковского муниципального округа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2.1.</w:t>
            </w:r>
          </w:p>
        </w:tc>
        <w:tc>
          <w:tcPr>
            <w:tcW w:w="2156" w:type="dxa"/>
          </w:tcPr>
          <w:p w:rsidR="000D67D3" w:rsidRPr="000D67D3" w:rsidRDefault="000D67D3" w:rsidP="002A5306">
            <w:pPr>
              <w:pStyle w:val="ConsPlusNormal"/>
              <w:tabs>
                <w:tab w:val="left" w:pos="519"/>
              </w:tabs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Обустройство остановок </w:t>
            </w:r>
            <w:r w:rsidRPr="000D67D3">
              <w:rPr>
                <w:sz w:val="24"/>
                <w:szCs w:val="24"/>
              </w:rPr>
              <w:lastRenderedPageBreak/>
              <w:t>общественного транспорта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0D67D3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сокращение к 2026 году </w:t>
            </w:r>
            <w:r w:rsidRPr="003D29BF">
              <w:rPr>
                <w:sz w:val="24"/>
                <w:szCs w:val="24"/>
              </w:rPr>
              <w:lastRenderedPageBreak/>
              <w:t>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156" w:type="dxa"/>
          </w:tcPr>
          <w:p w:rsidR="000D67D3" w:rsidRPr="000D67D3" w:rsidRDefault="000D67D3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Ремонт и устройство тротуаров 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</w:t>
            </w:r>
            <w:r w:rsidRPr="003D29BF"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56" w:type="dxa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2.4.</w:t>
            </w:r>
          </w:p>
        </w:tc>
        <w:tc>
          <w:tcPr>
            <w:tcW w:w="2156" w:type="dxa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Нанесение горизонтальной и вертикальной дорожной разметки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</w:t>
            </w:r>
            <w:r w:rsidRPr="003D29BF">
              <w:rPr>
                <w:sz w:val="24"/>
                <w:szCs w:val="24"/>
              </w:rPr>
              <w:lastRenderedPageBreak/>
              <w:t>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56" w:type="dxa"/>
          </w:tcPr>
          <w:p w:rsidR="000D67D3" w:rsidRPr="000D67D3" w:rsidRDefault="000D67D3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2.6.</w:t>
            </w:r>
          </w:p>
        </w:tc>
        <w:tc>
          <w:tcPr>
            <w:tcW w:w="2156" w:type="dxa"/>
          </w:tcPr>
          <w:p w:rsidR="000D67D3" w:rsidRPr="000D67D3" w:rsidRDefault="000D67D3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Обустройство автомобильных дорог средствами организации дорожного движения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сокращение к 2026 году количества лиц, погибших и раненных в результате дорожно-транспортных  происшествий  на автомобильных    </w:t>
            </w:r>
            <w:r w:rsidRPr="003D29BF">
              <w:rPr>
                <w:sz w:val="24"/>
                <w:szCs w:val="24"/>
              </w:rPr>
              <w:lastRenderedPageBreak/>
              <w:t>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количества мест концентрации дорожно-транспортных происшествий (аварийно-опасных участков) на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автомобильных дорогах;</w:t>
            </w:r>
          </w:p>
        </w:tc>
      </w:tr>
      <w:tr w:rsidR="001857DC" w:rsidRPr="000D67D3" w:rsidTr="00202D3A">
        <w:trPr>
          <w:trHeight w:val="278"/>
        </w:trPr>
        <w:tc>
          <w:tcPr>
            <w:tcW w:w="485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857DC" w:rsidRPr="001857DC" w:rsidRDefault="001857DC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57DC"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  <w:r w:rsidRPr="001857D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объе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ктов транспортной инфраструктуры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156" w:type="dxa"/>
          </w:tcPr>
          <w:p w:rsidR="001857DC" w:rsidRPr="00ED4C00" w:rsidRDefault="00671768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Обучение лиц, ответственных за обеспечение транспортной безопасности в субъекте транспортной инфраструктуры и на объекте транспортной инфраструктуры</w:t>
            </w:r>
          </w:p>
        </w:tc>
        <w:tc>
          <w:tcPr>
            <w:tcW w:w="1710" w:type="dxa"/>
            <w:gridSpan w:val="2"/>
          </w:tcPr>
          <w:p w:rsidR="001857DC" w:rsidRPr="000D67D3" w:rsidRDefault="001857DC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B5279E" w:rsidRDefault="008B61C7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</w:t>
            </w:r>
            <w:r w:rsidR="00493D0E">
              <w:rPr>
                <w:rFonts w:eastAsiaTheme="minorHAnsi"/>
                <w:sz w:val="24"/>
                <w:szCs w:val="24"/>
                <w:lang w:eastAsia="en-US"/>
              </w:rPr>
              <w:t xml:space="preserve"> транспортной инфра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структуры</w:t>
            </w:r>
          </w:p>
          <w:p w:rsidR="001857DC" w:rsidRPr="003D29BF" w:rsidRDefault="001857DC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1857DC" w:rsidRPr="00967B6F" w:rsidRDefault="00493D0E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Pr="000D67D3" w:rsidRDefault="00671768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156" w:type="dxa"/>
          </w:tcPr>
          <w:p w:rsidR="001857DC" w:rsidRPr="00671768" w:rsidRDefault="00671768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Паспорта обеспечения транспортной безопасности объекта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1857DC" w:rsidRPr="000D67D3" w:rsidRDefault="001857DC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57DC" w:rsidRPr="00493D0E" w:rsidRDefault="00493D0E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Pr="000D67D3" w:rsidRDefault="009657DC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2156" w:type="dxa"/>
          </w:tcPr>
          <w:p w:rsidR="001857DC" w:rsidRPr="00493D0E" w:rsidRDefault="00671768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Плана обеспечения транспортной безопасности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объектов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1857DC" w:rsidRPr="000D67D3" w:rsidRDefault="001857DC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0D67D3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57DC" w:rsidRPr="00493D0E" w:rsidRDefault="00493D0E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антитеррористической защищенности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сохранность объектов транспортной инфраструктуры  </w:t>
            </w:r>
          </w:p>
        </w:tc>
      </w:tr>
      <w:tr w:rsidR="00493D0E" w:rsidRPr="000D67D3" w:rsidTr="007040E2">
        <w:trPr>
          <w:trHeight w:val="278"/>
        </w:trPr>
        <w:tc>
          <w:tcPr>
            <w:tcW w:w="485" w:type="dxa"/>
          </w:tcPr>
          <w:p w:rsidR="00493D0E" w:rsidRDefault="00493D0E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2156" w:type="dxa"/>
          </w:tcPr>
          <w:p w:rsidR="00493D0E" w:rsidRDefault="00493D0E" w:rsidP="002A5306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493D0E" w:rsidRPr="000D67D3" w:rsidRDefault="00493D0E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493D0E" w:rsidRDefault="00493D0E" w:rsidP="002A5306">
            <w:pPr>
              <w:spacing w:line="240" w:lineRule="exact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493D0E" w:rsidRPr="000D67D3" w:rsidTr="007040E2">
        <w:trPr>
          <w:trHeight w:val="278"/>
        </w:trPr>
        <w:tc>
          <w:tcPr>
            <w:tcW w:w="485" w:type="dxa"/>
          </w:tcPr>
          <w:p w:rsidR="00493D0E" w:rsidRPr="000D67D3" w:rsidRDefault="00493D0E" w:rsidP="002A5306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2156" w:type="dxa"/>
          </w:tcPr>
          <w:p w:rsidR="00493D0E" w:rsidRPr="000D67D3" w:rsidRDefault="00493D0E" w:rsidP="002A53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</w:tc>
        <w:tc>
          <w:tcPr>
            <w:tcW w:w="1710" w:type="dxa"/>
            <w:gridSpan w:val="2"/>
          </w:tcPr>
          <w:p w:rsidR="00493D0E" w:rsidRPr="000D67D3" w:rsidRDefault="00493D0E" w:rsidP="002A5306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2A530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2A530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493D0E" w:rsidRDefault="00493D0E" w:rsidP="002A5306">
            <w:pPr>
              <w:spacing w:line="240" w:lineRule="exact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2A5306">
            <w:pPr>
              <w:pStyle w:val="ConsPlusCell"/>
              <w:spacing w:line="240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</w:tbl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175511" w:rsidRDefault="00175511" w:rsidP="00175511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__________________________</w:t>
      </w:r>
    </w:p>
    <w:bookmarkEnd w:id="0"/>
    <w:p w:rsidR="00CC292B" w:rsidRDefault="00CC292B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sectPr w:rsidR="00CC292B" w:rsidSect="002A5306">
      <w:headerReference w:type="default" r:id="rId9"/>
      <w:pgSz w:w="16838" w:h="11906" w:orient="landscape"/>
      <w:pgMar w:top="1702" w:right="820" w:bottom="709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A4" w:rsidRDefault="006771A4" w:rsidP="00FB4E32">
      <w:pPr>
        <w:spacing w:line="240" w:lineRule="auto"/>
      </w:pPr>
      <w:r>
        <w:separator/>
      </w:r>
    </w:p>
  </w:endnote>
  <w:endnote w:type="continuationSeparator" w:id="0">
    <w:p w:rsidR="006771A4" w:rsidRDefault="006771A4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A4" w:rsidRDefault="006771A4" w:rsidP="00FB4E32">
      <w:pPr>
        <w:spacing w:line="240" w:lineRule="auto"/>
      </w:pPr>
      <w:r>
        <w:separator/>
      </w:r>
    </w:p>
  </w:footnote>
  <w:footnote w:type="continuationSeparator" w:id="0">
    <w:p w:rsidR="006771A4" w:rsidRDefault="006771A4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306">
          <w:rPr>
            <w:noProof/>
          </w:rPr>
          <w:t>11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66957"/>
    <w:rsid w:val="000862F5"/>
    <w:rsid w:val="000A6001"/>
    <w:rsid w:val="000B5B15"/>
    <w:rsid w:val="000D5822"/>
    <w:rsid w:val="000D67D3"/>
    <w:rsid w:val="000F3550"/>
    <w:rsid w:val="001031B4"/>
    <w:rsid w:val="00134963"/>
    <w:rsid w:val="00135A03"/>
    <w:rsid w:val="00145CE3"/>
    <w:rsid w:val="00145E66"/>
    <w:rsid w:val="00151AC1"/>
    <w:rsid w:val="001541A5"/>
    <w:rsid w:val="00175511"/>
    <w:rsid w:val="00180CC4"/>
    <w:rsid w:val="001857DC"/>
    <w:rsid w:val="0018687C"/>
    <w:rsid w:val="00187B14"/>
    <w:rsid w:val="001B4444"/>
    <w:rsid w:val="001C5F24"/>
    <w:rsid w:val="001E386E"/>
    <w:rsid w:val="001E57F5"/>
    <w:rsid w:val="001F1866"/>
    <w:rsid w:val="00294998"/>
    <w:rsid w:val="002A0BF3"/>
    <w:rsid w:val="002A5306"/>
    <w:rsid w:val="002F4390"/>
    <w:rsid w:val="002F4B76"/>
    <w:rsid w:val="00314776"/>
    <w:rsid w:val="00324AF5"/>
    <w:rsid w:val="00327068"/>
    <w:rsid w:val="00351751"/>
    <w:rsid w:val="00372948"/>
    <w:rsid w:val="003879C2"/>
    <w:rsid w:val="003A0804"/>
    <w:rsid w:val="003C2552"/>
    <w:rsid w:val="003C4FC8"/>
    <w:rsid w:val="003D29BF"/>
    <w:rsid w:val="004224BB"/>
    <w:rsid w:val="00425461"/>
    <w:rsid w:val="00426BB8"/>
    <w:rsid w:val="004367F5"/>
    <w:rsid w:val="00440F5C"/>
    <w:rsid w:val="0045035D"/>
    <w:rsid w:val="00450976"/>
    <w:rsid w:val="0048014E"/>
    <w:rsid w:val="00481040"/>
    <w:rsid w:val="0049263E"/>
    <w:rsid w:val="00493D0E"/>
    <w:rsid w:val="004E6118"/>
    <w:rsid w:val="004F0B9D"/>
    <w:rsid w:val="004F1208"/>
    <w:rsid w:val="0050276E"/>
    <w:rsid w:val="00515348"/>
    <w:rsid w:val="00515471"/>
    <w:rsid w:val="00534FDB"/>
    <w:rsid w:val="005551DA"/>
    <w:rsid w:val="00555AE5"/>
    <w:rsid w:val="00582698"/>
    <w:rsid w:val="00584022"/>
    <w:rsid w:val="0059523D"/>
    <w:rsid w:val="00597CA0"/>
    <w:rsid w:val="005C2A9F"/>
    <w:rsid w:val="005E1D2B"/>
    <w:rsid w:val="005E6ACC"/>
    <w:rsid w:val="00607850"/>
    <w:rsid w:val="00623C6C"/>
    <w:rsid w:val="006254B9"/>
    <w:rsid w:val="00627883"/>
    <w:rsid w:val="00670797"/>
    <w:rsid w:val="00671768"/>
    <w:rsid w:val="006771A4"/>
    <w:rsid w:val="00694C58"/>
    <w:rsid w:val="006C070B"/>
    <w:rsid w:val="006C4566"/>
    <w:rsid w:val="006D549B"/>
    <w:rsid w:val="006F084E"/>
    <w:rsid w:val="006F702E"/>
    <w:rsid w:val="007040E2"/>
    <w:rsid w:val="007050F8"/>
    <w:rsid w:val="00725E04"/>
    <w:rsid w:val="00727C53"/>
    <w:rsid w:val="007508B9"/>
    <w:rsid w:val="0075115D"/>
    <w:rsid w:val="00775647"/>
    <w:rsid w:val="00784C41"/>
    <w:rsid w:val="0079645A"/>
    <w:rsid w:val="007B40AC"/>
    <w:rsid w:val="007B46CB"/>
    <w:rsid w:val="007D6050"/>
    <w:rsid w:val="007F7C87"/>
    <w:rsid w:val="00820AA0"/>
    <w:rsid w:val="00821EFD"/>
    <w:rsid w:val="0083753A"/>
    <w:rsid w:val="00847DCB"/>
    <w:rsid w:val="00855963"/>
    <w:rsid w:val="0088048B"/>
    <w:rsid w:val="008807B6"/>
    <w:rsid w:val="008B17DE"/>
    <w:rsid w:val="008B1D14"/>
    <w:rsid w:val="008B61C7"/>
    <w:rsid w:val="008C3C41"/>
    <w:rsid w:val="008D7C1F"/>
    <w:rsid w:val="008E0FF0"/>
    <w:rsid w:val="008F49C9"/>
    <w:rsid w:val="00911EAA"/>
    <w:rsid w:val="0092705A"/>
    <w:rsid w:val="00945F01"/>
    <w:rsid w:val="009477D9"/>
    <w:rsid w:val="009657DC"/>
    <w:rsid w:val="009658E7"/>
    <w:rsid w:val="00967B6F"/>
    <w:rsid w:val="00975CB0"/>
    <w:rsid w:val="0097786A"/>
    <w:rsid w:val="00983D60"/>
    <w:rsid w:val="009A4A36"/>
    <w:rsid w:val="009A4E07"/>
    <w:rsid w:val="009B77F5"/>
    <w:rsid w:val="009E5168"/>
    <w:rsid w:val="009E6453"/>
    <w:rsid w:val="009E681E"/>
    <w:rsid w:val="009F4096"/>
    <w:rsid w:val="00A03066"/>
    <w:rsid w:val="00A03538"/>
    <w:rsid w:val="00A1258D"/>
    <w:rsid w:val="00A172A0"/>
    <w:rsid w:val="00A41511"/>
    <w:rsid w:val="00A43DFF"/>
    <w:rsid w:val="00A613A1"/>
    <w:rsid w:val="00A62314"/>
    <w:rsid w:val="00A7019E"/>
    <w:rsid w:val="00A871E2"/>
    <w:rsid w:val="00A87E73"/>
    <w:rsid w:val="00AD1E01"/>
    <w:rsid w:val="00AD1EBB"/>
    <w:rsid w:val="00AD6DD8"/>
    <w:rsid w:val="00B5279E"/>
    <w:rsid w:val="00B61B1A"/>
    <w:rsid w:val="00B759FB"/>
    <w:rsid w:val="00B92CD0"/>
    <w:rsid w:val="00BC10C0"/>
    <w:rsid w:val="00BC1827"/>
    <w:rsid w:val="00BC67CF"/>
    <w:rsid w:val="00BD7265"/>
    <w:rsid w:val="00C06CD9"/>
    <w:rsid w:val="00C10EE9"/>
    <w:rsid w:val="00C12713"/>
    <w:rsid w:val="00C320D2"/>
    <w:rsid w:val="00C33B05"/>
    <w:rsid w:val="00C369EC"/>
    <w:rsid w:val="00C4699E"/>
    <w:rsid w:val="00C8646D"/>
    <w:rsid w:val="00C9683E"/>
    <w:rsid w:val="00CA096D"/>
    <w:rsid w:val="00CC292B"/>
    <w:rsid w:val="00CE3C6F"/>
    <w:rsid w:val="00CF3EA8"/>
    <w:rsid w:val="00CF7B05"/>
    <w:rsid w:val="00D06709"/>
    <w:rsid w:val="00D0765D"/>
    <w:rsid w:val="00D36D59"/>
    <w:rsid w:val="00D51317"/>
    <w:rsid w:val="00D6048B"/>
    <w:rsid w:val="00D95742"/>
    <w:rsid w:val="00DA4DEF"/>
    <w:rsid w:val="00DB261A"/>
    <w:rsid w:val="00DB275A"/>
    <w:rsid w:val="00DB4E8B"/>
    <w:rsid w:val="00DE5572"/>
    <w:rsid w:val="00DE5B47"/>
    <w:rsid w:val="00E12C26"/>
    <w:rsid w:val="00E1376F"/>
    <w:rsid w:val="00E14DB0"/>
    <w:rsid w:val="00E36381"/>
    <w:rsid w:val="00E40D29"/>
    <w:rsid w:val="00E458B5"/>
    <w:rsid w:val="00E53317"/>
    <w:rsid w:val="00E71F12"/>
    <w:rsid w:val="00E8500D"/>
    <w:rsid w:val="00E93C06"/>
    <w:rsid w:val="00EB6396"/>
    <w:rsid w:val="00EB6AAE"/>
    <w:rsid w:val="00EB78DC"/>
    <w:rsid w:val="00EC1F12"/>
    <w:rsid w:val="00EC3EA7"/>
    <w:rsid w:val="00EC609A"/>
    <w:rsid w:val="00ED4C00"/>
    <w:rsid w:val="00ED50BA"/>
    <w:rsid w:val="00EE2D33"/>
    <w:rsid w:val="00F139B0"/>
    <w:rsid w:val="00F32B86"/>
    <w:rsid w:val="00F4064D"/>
    <w:rsid w:val="00F4380F"/>
    <w:rsid w:val="00F44E24"/>
    <w:rsid w:val="00F537C5"/>
    <w:rsid w:val="00F73473"/>
    <w:rsid w:val="00F8491E"/>
    <w:rsid w:val="00FB4E32"/>
    <w:rsid w:val="00FC3CB7"/>
    <w:rsid w:val="00FC45D5"/>
    <w:rsid w:val="00F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BED56-FB13-4DFD-ADFA-DAE7AC79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14</cp:revision>
  <cp:lastPrinted>2024-04-01T12:20:00Z</cp:lastPrinted>
  <dcterms:created xsi:type="dcterms:W3CDTF">2024-03-11T07:28:00Z</dcterms:created>
  <dcterms:modified xsi:type="dcterms:W3CDTF">2024-04-01T12:20:00Z</dcterms:modified>
</cp:coreProperties>
</file>